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Accessoires</w:t>
      </w:r>
    </w:p>
    <w:p/>
    <w:p>
      <w:pPr/>
      <w:r>
        <w:rPr>
          <w:b/>
        </w:rPr>
        <w:t xml:space="preserve">Cache de rénovation pour RS PRO DL LED 15 W</w:t>
      </w:r>
    </w:p>
    <w:p>
      <w:pPr/>
      <w:r>
        <w:rPr>
          <w:b/>
        </w:rPr>
        <w:t xml:space="preserve"/>
      </w:r>
    </w:p>
    <w:p/>
    <w:p>
      <w:pPr/>
      <w:r>
        <w:rPr/>
        <w:t xml:space="preserve">Dimensions (Ø x H): 130 x 2 mm; Garantie du fabricant: 5 ans; UC1, Code EAN: 4007841013677; Coloris: blanc; Matériau du boîtier: Aluminium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013677</w:t>
      </w:r>
    </w:p>
    <w:p>
      <w:r>
        <w:rPr>
          <w:b/>
        </w:rPr>
        <w:t xml:space="preserve">Désignation commande </w:t>
      </w:r>
      <w:r>
        <w:rPr/>
        <w:t xml:space="preserve">Cache de rénovation pour RS PRO DL LED 15 W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2023-06-29T17:52:01+02:00</dcterms:created>
  <dcterms:modified xsi:type="dcterms:W3CDTF">2023-06-29T17:52:01+02:00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